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rPr>
          <w:rFonts w:hint="eastAsia" w:ascii="宋体" w:hAnsi="宋体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西畴县人民政府办公室关于印发《西畴乌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骨鸡养殖及销售奖励扶持办法（试行）》的通知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西政办规〔2023〕1号</w:t>
      </w:r>
    </w:p>
    <w:p>
      <w:pPr>
        <w:widowControl/>
        <w:spacing w:line="540" w:lineRule="exact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乡（镇）人民政府，县直各部门：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宋体" w:hAnsi="宋体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经县人民政府同意，现将《西畴乌骨鸡养殖及销售奖励扶持办法（试行）》印发给你们，请认真抓好贯彻执行。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西畴县人民政府办公室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2023年9月11日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bCs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bCs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bCs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bCs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bCs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西畴乌骨鸡养殖及销售奖励扶持办法（试行）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推进西畴乌骨鸡产业发展，调整优化畜牧产业结构，增加农民收入，根据《中华人民共和国农业法》《中华人民共和国乡村振兴促进法》《中华人民共和国畜牧法》《云南省人民政府关于创建“一县一业”示范县加快打造世界一流“绿色食品牌”的指导意见》要求，结合西畴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本办法按年度实施，从每年的1月1日至12月31日为一个年度。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本办法奖励对象为依法在西畴县境内从事西畴乌骨鸡养殖的养殖户、养殖企业、养殖场、养殖专业合作社、村集体经济和西畴乌骨鸡屠宰加工销售主体。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资金来源为财政资金。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  <w:t>第二章  奖励扶持内容及标准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西畴乌骨鸡养殖奖励具体条件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（一）养殖品种必须是县内具有西畴乌骨鸡《种畜禽生产经营许可证》龙头企业所生产的西畴乌骨鸡苗。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养殖主体从龙头企业购进西畴乌骨鸡苗时，必须到养殖主体所在地的各乡（镇）人民政府登记备案，并按《西畴乌骨鸡标准化养殖技术标准（试行）》相关要求做好饲养管理。出售西畴乌骨鸡商品鸡时须到所在地乡（镇）人民政府出具产地检疫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（三）养殖主体按要求自觉接受免疫注射和佩戴畜禽标识，各乡（镇）人民政府要建立健全相关台账档案。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（四）养殖主体销售的符合以上奖励条件的商品鸡，按乡（镇）人民政府提供的“动物产地检疫证明”数量开展量化补助。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（一）养殖主体饲养出栏的商品鸡。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（二）西畴乌骨鸡屠宰加工销售主体屠宰加工及销售的商品鸡。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养殖奖励标准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（一）一般养殖主体一个年度周期内累计商品鸡出栏1000（含1000）羽至4999羽，每羽奖励2元；脱贫户及三类监测对象一个年度周期内累计商品鸡出栏500（含500）羽至4999羽，每羽奖励2元。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（二）所有西畴乌骨鸡养殖主体一个年度周期内累计商品鸡出栏5000（含5000）羽以上，每羽奖励3元。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（三）屠宰加工企业年屠宰加工出售商品鸡300万羽以上奖励30万元，每增加销售100万羽增加奖励10万元，本奖励为一次性奖励。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  <w:t>第三章  奖励扶持兑现程序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第八条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奖励扶持资金兑现程序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养殖主体根据合作养殖协议与龙头企业建立利益联结机制，商品鸡出栏后，养殖主体向各乡（镇）人民政府提交申请，各乡（镇）人民政府将相关资料信息进行收集、审核、公示，公示结束后由各乡（镇）人民政府将相关资料报县农科局，县农科局复核后报县财政局核准审批，按年度拨付奖励资金到各乡（镇）人民政府，由各乡（镇）人民政府兑现给养殖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西畴乌骨鸡屠宰加工销售主体，屠宰加工销售数量达到扶持奖励标准后，向乡（镇）人民政府提交官方兽医出具《动物检疫合格证明》等相关资料信息，乡（镇）人民政府将相关资料信息进行收集、审核、公示，公示结束后由各乡（镇）人民政府将相关资料报县农科局，县农科局复核后报县财政局核准审批，按年度拨付奖励资金到各乡（镇）人民政府，由各乡（镇）人民政府组织兑现给西畴乌骨鸡屠宰加工销售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第九条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资金监管。实行专帐管理、专款专用，确保扶持奖励资金安全运行和资金使用效益最大化。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  <w:t>第四章  各相关单位工作职责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（一）西畴乌骨鸡养殖主体：与西畴乌骨鸡产业龙头企业建立利益联结机制，按照合作协议开展西畴乌骨鸡合作养殖，出栏后向乡（镇）人民政府提出申请。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（二）乡（镇）人民政府：开展西畴乌骨鸡产业发展督促指导，信息资料收集，审核，公示，资金兑现等。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（三）县农科局：开展西畴乌骨鸡产业发展督促指导，信息资料复核，向县财政申请资金等。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（四）县财政局：信息资料核准及审批，资金划拨等。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（五）县乡村振兴局：确保扶持奖励办法进入项目库，奖励资金得以落实。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highlight w:val="none"/>
          <w:lang w:val="en-US" w:eastAsia="zh-CN"/>
        </w:rPr>
        <w:t>第五章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第十条</w:t>
      </w:r>
      <w:r>
        <w:rPr>
          <w:rFonts w:hint="eastAsia" w:ascii="宋体" w:hAnsi="宋体" w:eastAsia="方正仿宋_GBK" w:cs="宋体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本办法由县农科局负责解释。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本办法自发文公布之日起执行，执行时间不超过3年。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附件：西畴乌骨鸡养殖及销售奖励资金申请表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西畴乌骨鸡养殖及销售奖励资金申请表</w:t>
      </w:r>
    </w:p>
    <w:tbl>
      <w:tblPr>
        <w:tblStyle w:val="10"/>
        <w:tblpPr w:leftFromText="180" w:rightFromText="180" w:vertAnchor="text" w:horzAnchor="page" w:tblpX="1155" w:tblpY="270"/>
        <w:tblOverlap w:val="never"/>
        <w:tblW w:w="1956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71"/>
        <w:gridCol w:w="4228"/>
        <w:gridCol w:w="1426"/>
        <w:gridCol w:w="2555"/>
        <w:gridCol w:w="4890"/>
        <w:gridCol w:w="489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trHeight w:val="629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养殖主体名称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trHeight w:val="1105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申请事由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根据《西畴乌骨鸡养殖及销售奖励扶持办法（试行）》规定现已完成（养殖出栏、销售）《动物检疫合格证明》西畴乌骨鸡         羽，申请兑现乌骨鸡养殖奖励资金。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trHeight w:val="976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申请奖励金额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大写：                      小写：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cantSplit/>
          <w:trHeight w:val="1692" w:hRule="exac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种鸡培育龙头企业意见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4320" w:right="0" w:hanging="5760" w:hangingChars="180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销售西畴乌骨鸡苗数        羽   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4320" w:right="0" w:hanging="5760" w:hangingChars="180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03" w:hRule="exac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屠宰加工销售龙头企业意见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 w:firstLine="640" w:firstLineChars="200"/>
              <w:jc w:val="both"/>
              <w:textAlignment w:val="bottom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收到养殖主体送抵检疫商品鸡          羽。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2835" w:leftChars="1350" w:right="0" w:firstLine="2560" w:firstLineChars="80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年      月      日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cantSplit/>
          <w:trHeight w:val="1134" w:hRule="exac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乡（镇）人民政府审核意见</w:t>
            </w:r>
          </w:p>
        </w:tc>
        <w:tc>
          <w:tcPr>
            <w:tcW w:w="82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4320" w:right="0" w:hanging="5760" w:hangingChars="180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鸡苗购买登记备案数    羽，动物检疫合格证明数 羽。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4320" w:right="0" w:hanging="5760" w:hangingChars="180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4320" w:right="0" w:hanging="5760" w:hangingChars="180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cantSplit/>
          <w:trHeight w:val="861" w:hRule="exac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cantSplit/>
          <w:trHeight w:val="1279" w:hRule="exac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县农科局意见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right="0" w:rightChars="0" w:firstLine="5120" w:firstLineChars="160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9780" w:type="dxa"/>
          <w:cantSplit/>
          <w:trHeight w:val="1259" w:hRule="exac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县财政局意见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right="0" w:rightChars="0" w:firstLine="5120" w:firstLineChars="160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年      月      日</w:t>
            </w: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西畴县人民政府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8240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R0DW1QAAAAkBAAAPAAAAAAAA&#10;AAEAIAAAACIAAABkcnMvZG93bnJldi54bWxQSwECFAAUAAAACACHTuJA2pts59wBAAB9AwAADgAA&#10;AAAAAAABACAAAAAkAQAAZHJzL2Uyb0RvYy54bWxQSwUGAAAAAAYABgBZAQAAc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西畴县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</w:t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E42F8"/>
    <w:rsid w:val="080D4E4D"/>
    <w:rsid w:val="0AF027F0"/>
    <w:rsid w:val="16132A0E"/>
    <w:rsid w:val="17AE06B1"/>
    <w:rsid w:val="26583C56"/>
    <w:rsid w:val="292757A7"/>
    <w:rsid w:val="302E77F2"/>
    <w:rsid w:val="32B03476"/>
    <w:rsid w:val="39E5539F"/>
    <w:rsid w:val="4FF6F17F"/>
    <w:rsid w:val="7DFE4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Body Text Indent"/>
    <w:basedOn w:val="1"/>
    <w:qFormat/>
    <w:uiPriority w:val="0"/>
    <w:pPr>
      <w:ind w:firstLine="660"/>
    </w:pPr>
    <w:rPr>
      <w:rFonts w:ascii="宋体" w:eastAsia="宋体"/>
      <w:szCs w:val="24"/>
    </w:rPr>
  </w:style>
  <w:style w:type="paragraph" w:styleId="6">
    <w:name w:val="Block Text"/>
    <w:basedOn w:val="1"/>
    <w:qFormat/>
    <w:uiPriority w:val="0"/>
    <w:pPr>
      <w:ind w:left="946" w:leftChars="100" w:right="316" w:rightChars="100" w:hanging="630" w:hangingChars="306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 2"/>
    <w:basedOn w:val="5"/>
    <w:unhideWhenUsed/>
    <w:qFormat/>
    <w:uiPriority w:val="0"/>
    <w:pPr>
      <w:spacing w:line="500" w:lineRule="exact"/>
      <w:ind w:firstLine="420" w:firstLineChars="200"/>
    </w:pPr>
    <w:rPr>
      <w:rFonts w:ascii="Times New Roman" w:hAnsi="宋体"/>
      <w:kern w:val="1"/>
      <w:sz w:val="21"/>
    </w:rPr>
  </w:style>
  <w:style w:type="paragraph" w:customStyle="1" w:styleId="12">
    <w:name w:val="Body text|1"/>
    <w:basedOn w:val="1"/>
    <w:unhideWhenUsed/>
    <w:qFormat/>
    <w:uiPriority w:val="0"/>
    <w:pPr>
      <w:spacing w:beforeLines="0" w:afterLines="0" w:line="406" w:lineRule="auto"/>
      <w:ind w:firstLine="400"/>
    </w:pPr>
    <w:rPr>
      <w:rFonts w:hint="eastAsia" w:ascii="宋体" w:hAnsi="宋体" w:eastAsia="宋体" w:cs="宋体"/>
      <w:sz w:val="30"/>
      <w:szCs w:val="30"/>
      <w:lang w:val="zh-TW" w:eastAsia="zh-TW" w:bidi="zh-TW"/>
    </w:rPr>
  </w:style>
  <w:style w:type="character" w:customStyle="1" w:styleId="13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2023-09-11T17:34:00Z</dcterms:created>
  <dc:creator>kylin</dc:creator>
  <cp:lastModifiedBy>Administrator</cp:lastModifiedBy>
  <dcterms:modified xsi:type="dcterms:W3CDTF">2023-09-15T02:51:11Z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